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0B" w:rsidRPr="00E03D9B" w:rsidRDefault="008C0F1A" w:rsidP="00676A37">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7"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8"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 xml:space="preserve">for classroom teachers.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8A019C" w:rsidRPr="00113321" w:rsidRDefault="008A019C" w:rsidP="008A019C">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 xml:space="preserve">Non Contributory Employee Benefits </w:t>
      </w:r>
    </w:p>
    <w:p w:rsidR="008A019C" w:rsidRPr="005D1BB1" w:rsidRDefault="008A019C" w:rsidP="008A019C">
      <w:pPr>
        <w:pStyle w:val="BodyText"/>
        <w:tabs>
          <w:tab w:val="left" w:pos="1900"/>
        </w:tabs>
        <w:spacing w:before="120" w:after="120"/>
        <w:ind w:left="720" w:firstLine="0"/>
        <w:rPr>
          <w:rFonts w:asciiTheme="minorHAnsi" w:hAnsiTheme="minorHAnsi"/>
        </w:rPr>
      </w:pPr>
      <w:r>
        <w:rPr>
          <w:rFonts w:asciiTheme="minorHAnsi" w:hAnsiTheme="minorHAnsi"/>
        </w:rPr>
        <w:t>Guaranteed funding for longevity, annual leave payout and short term disability for state funded public school employees.</w:t>
      </w:r>
    </w:p>
    <w:p w:rsidR="00721BD6" w:rsidRDefault="00721BD6">
      <w:pPr>
        <w:rPr>
          <w:rFonts w:eastAsia="Arial"/>
          <w:b/>
          <w:spacing w:val="-1"/>
          <w:sz w:val="24"/>
          <w:szCs w:val="24"/>
        </w:rPr>
      </w:pPr>
      <w:r>
        <w:rPr>
          <w:b/>
          <w:spacing w:val="-1"/>
        </w:rPr>
        <w:br w:type="page"/>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rsidR="00113321" w:rsidRPr="005D1BB1" w:rsidRDefault="00757FC7"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with less than 3,201</w:t>
      </w:r>
      <w:r w:rsidR="00DA723F" w:rsidRPr="00DA723F">
        <w:rPr>
          <w:rFonts w:asciiTheme="minorHAnsi" w:hAnsiTheme="minorHAnsi"/>
        </w:rPr>
        <w:t xml:space="preserve">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 xml:space="preserve">School systems which received these funds and are now ineligible due to a higher than 3,200 membership are phased out of the funding over five years.  </w:t>
      </w:r>
      <w:r w:rsidR="00DA723F">
        <w:rPr>
          <w:rFonts w:asciiTheme="minorHAnsi" w:hAnsiTheme="minorHAnsi"/>
        </w:rPr>
        <w:t xml:space="preserve">City school districts are not eligible.  </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A019C" w:rsidRDefault="008A019C" w:rsidP="00676A37">
      <w:pPr>
        <w:pStyle w:val="BodyText"/>
        <w:tabs>
          <w:tab w:val="left" w:pos="720"/>
          <w:tab w:val="left" w:pos="1900"/>
        </w:tabs>
        <w:spacing w:before="120" w:after="120"/>
        <w:ind w:left="720" w:firstLine="0"/>
        <w:rPr>
          <w:rFonts w:asciiTheme="minorHAnsi" w:hAnsiTheme="minorHAnsi"/>
        </w:rPr>
      </w:pP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47631A" w:rsidRPr="00934B5A" w:rsidRDefault="00A30BE2" w:rsidP="0047631A">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rsidR="00A30BE2" w:rsidRPr="001141FB" w:rsidRDefault="001141FB" w:rsidP="001141FB">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the access to effective and highly-effective teachers for students in low- achieving and high-poverty schools relative to their higher-achieving and lower-poverty peers.</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6246D5" w:rsidRPr="005D1BB1" w:rsidRDefault="00BB55E5" w:rsidP="006246D5">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rsidR="000C1D3C" w:rsidRPr="00623BB3" w:rsidRDefault="000C1D3C" w:rsidP="000C1D3C">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028</w:t>
      </w:r>
      <w:r w:rsidRPr="00623BB3">
        <w:rPr>
          <w:rFonts w:asciiTheme="minorHAnsi" w:hAnsiTheme="minorHAnsi"/>
          <w:b/>
          <w:spacing w:val="-1"/>
        </w:rPr>
        <w:tab/>
        <w:t>B</w:t>
      </w:r>
      <w:r>
        <w:rPr>
          <w:rFonts w:asciiTheme="minorHAnsi" w:hAnsiTheme="minorHAnsi"/>
          <w:b/>
          <w:spacing w:val="-1"/>
        </w:rPr>
        <w:t>onus for Highly Qualified NC Teaching Graduates</w:t>
      </w:r>
    </w:p>
    <w:p w:rsidR="000C1D3C" w:rsidRDefault="000C1D3C" w:rsidP="000C1D3C">
      <w:pPr>
        <w:pStyle w:val="BodyText"/>
        <w:tabs>
          <w:tab w:val="left" w:pos="720"/>
          <w:tab w:val="left" w:pos="1900"/>
        </w:tabs>
        <w:spacing w:before="120" w:after="120"/>
        <w:ind w:left="720" w:firstLine="0"/>
        <w:rPr>
          <w:rFonts w:asciiTheme="minorHAnsi" w:hAnsiTheme="minorHAnsi"/>
          <w:b/>
          <w:spacing w:val="-1"/>
        </w:rPr>
      </w:pPr>
      <w:r>
        <w:rPr>
          <w:rFonts w:asciiTheme="minorHAnsi" w:hAnsiTheme="minorHAnsi"/>
        </w:rPr>
        <w:t>Supplement for new graduates entering the teaching force who had a GPA of 3.75 or higher and met a certain score on edTPA or PPAT assessments.</w:t>
      </w:r>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Pr="001141FB" w:rsidRDefault="00CE63A2" w:rsidP="00CE63A2">
      <w:pPr>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t>Digital Learning</w:t>
      </w:r>
    </w:p>
    <w:p w:rsidR="00BB55E5" w:rsidRDefault="00BB55E5" w:rsidP="00676A37">
      <w:pPr>
        <w:pStyle w:val="BodyText"/>
        <w:tabs>
          <w:tab w:val="left" w:pos="1900"/>
        </w:tabs>
        <w:spacing w:before="120" w:after="120"/>
        <w:ind w:left="720" w:firstLine="0"/>
        <w:rPr>
          <w:rFonts w:asciiTheme="minorHAnsi" w:hAnsiTheme="minorHAnsi"/>
        </w:rPr>
      </w:pPr>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 xml:space="preserve">ystems.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E63A2" w:rsidRPr="00BB55E5" w:rsidRDefault="00CE63A2" w:rsidP="00676A37">
      <w:pPr>
        <w:pStyle w:val="BodyText"/>
        <w:tabs>
          <w:tab w:val="left" w:pos="1900"/>
        </w:tabs>
        <w:spacing w:before="120" w:after="120"/>
        <w:ind w:left="720" w:firstLine="0"/>
        <w:rPr>
          <w:rFonts w:asciiTheme="minorHAnsi" w:hAnsiTheme="minorHAnsi"/>
        </w:rPr>
      </w:pP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w:t>
      </w:r>
      <w:r w:rsidR="006C2F80" w:rsidRPr="005D1BB1">
        <w:rPr>
          <w:rFonts w:asciiTheme="minorHAnsi" w:hAnsiTheme="minorHAnsi"/>
        </w:rPr>
        <w:lastRenderedPageBreak/>
        <w:t>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C36C0B" w:rsidRPr="00623BB3" w:rsidRDefault="00907DD0" w:rsidP="000C1D3C">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3C4ADF" w:rsidRDefault="003C4ADF" w:rsidP="003C4ADF">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p>
    <w:p w:rsidR="00FB6102" w:rsidRPr="00FB6102" w:rsidRDefault="00FB6102" w:rsidP="003C4ADF">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p>
    <w:p w:rsidR="00834126" w:rsidRDefault="00834126" w:rsidP="00676A37">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r w:rsidR="000C1D3C">
        <w:rPr>
          <w:rFonts w:asciiTheme="minorHAnsi" w:hAnsiTheme="minorHAnsi"/>
          <w:b/>
        </w:rPr>
        <w:t xml:space="preserve"> Grant</w:t>
      </w:r>
    </w:p>
    <w:p w:rsidR="00834126" w:rsidRPr="004821A4" w:rsidRDefault="004821A4" w:rsidP="00834126">
      <w:pPr>
        <w:pStyle w:val="BodyText"/>
        <w:tabs>
          <w:tab w:val="left" w:pos="720"/>
        </w:tabs>
        <w:spacing w:before="120" w:after="120"/>
        <w:ind w:left="720" w:firstLine="0"/>
        <w:rPr>
          <w:rFonts w:asciiTheme="minorHAnsi" w:hAnsiTheme="minorHAnsi"/>
        </w:rPr>
      </w:pPr>
      <w:r>
        <w:rPr>
          <w:rFonts w:asciiTheme="minorHAnsi" w:hAnsiTheme="minorHAnsi"/>
        </w:rPr>
        <w:t xml:space="preserve">Funding received through a grant application to employ and train school resource officers in elementary and middle schools.  The State funds school resource officers for high schools in program report code 069 At Risk Student Services. </w:t>
      </w:r>
    </w:p>
    <w:p w:rsidR="00834126" w:rsidRDefault="00834126" w:rsidP="00676A37">
      <w:pPr>
        <w:pStyle w:val="BodyText"/>
        <w:tabs>
          <w:tab w:val="left" w:pos="720"/>
        </w:tabs>
        <w:spacing w:before="120" w:after="120"/>
        <w:ind w:left="720" w:hanging="720"/>
        <w:rPr>
          <w:rFonts w:asciiTheme="minorHAnsi" w:hAnsiTheme="minorHAnsi"/>
          <w:b/>
        </w:rPr>
      </w:pPr>
      <w:r w:rsidRPr="00AC21B4">
        <w:rPr>
          <w:rFonts w:asciiTheme="minorHAnsi" w:hAnsiTheme="minorHAnsi"/>
          <w:b/>
        </w:rPr>
        <w:t>040</w:t>
      </w:r>
      <w:r w:rsidRPr="00AC21B4">
        <w:rPr>
          <w:rFonts w:asciiTheme="minorHAnsi" w:hAnsiTheme="minorHAnsi"/>
          <w:b/>
        </w:rPr>
        <w:tab/>
        <w:t>After-School Quality Improvement Grant Program</w:t>
      </w:r>
    </w:p>
    <w:p w:rsidR="00834126" w:rsidRPr="00AC21B4" w:rsidRDefault="00AC21B4" w:rsidP="00834126">
      <w:pPr>
        <w:pStyle w:val="BodyText"/>
        <w:tabs>
          <w:tab w:val="left" w:pos="720"/>
        </w:tabs>
        <w:spacing w:before="120" w:after="120"/>
        <w:ind w:left="720" w:firstLine="0"/>
        <w:rPr>
          <w:rFonts w:asciiTheme="minorHAnsi" w:hAnsiTheme="minorHAnsi"/>
        </w:rPr>
      </w:pPr>
      <w:r w:rsidRPr="00AC21B4">
        <w:rPr>
          <w:rFonts w:asciiTheme="minorHAnsi" w:hAnsiTheme="minorHAnsi"/>
        </w:rPr>
        <w:t>New in 2014-15</w:t>
      </w:r>
      <w:r>
        <w:rPr>
          <w:rFonts w:asciiTheme="minorHAnsi" w:hAnsiTheme="minorHAnsi"/>
        </w:rPr>
        <w:t xml:space="preserve">: </w:t>
      </w:r>
      <w:r w:rsidR="004821A4">
        <w:rPr>
          <w:rFonts w:asciiTheme="minorHAnsi" w:hAnsiTheme="minorHAnsi"/>
        </w:rPr>
        <w:t>Funding received through a grant application</w:t>
      </w:r>
      <w:r>
        <w:rPr>
          <w:rFonts w:asciiTheme="minorHAnsi" w:hAnsiTheme="minorHAnsi"/>
        </w:rPr>
        <w:t xml:space="preserve"> for school districts and non profit partners to administer after school learning programs for at risk students.</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r>
      <w:r w:rsidR="000C1D3C">
        <w:rPr>
          <w:rFonts w:asciiTheme="minorHAnsi" w:hAnsiTheme="minorHAnsi"/>
          <w:b/>
          <w:spacing w:val="-1"/>
        </w:rPr>
        <w:t>Veteran Teacher Retention Bonus</w:t>
      </w:r>
    </w:p>
    <w:p w:rsidR="003C4ADF" w:rsidRDefault="000C1D3C" w:rsidP="006246D5">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One time bonus of $385 to teachers with at least 25 years of teaching experience and employed on October 1.</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lastRenderedPageBreak/>
        <w:t>046</w:t>
      </w:r>
      <w:r w:rsidRPr="006C4B70">
        <w:rPr>
          <w:rFonts w:asciiTheme="minorHAnsi" w:hAnsiTheme="minorHAnsi"/>
          <w:b/>
          <w:spacing w:val="-1"/>
        </w:rPr>
        <w:tab/>
      </w:r>
      <w:r w:rsidR="000C1D3C">
        <w:rPr>
          <w:rFonts w:asciiTheme="minorHAnsi" w:hAnsiTheme="minorHAnsi"/>
          <w:b/>
          <w:spacing w:val="-1"/>
        </w:rPr>
        <w:t>3</w:t>
      </w:r>
      <w:r w:rsidR="000C1D3C" w:rsidRPr="000C1D3C">
        <w:rPr>
          <w:rFonts w:asciiTheme="minorHAnsi" w:hAnsiTheme="minorHAnsi"/>
          <w:b/>
          <w:spacing w:val="-1"/>
          <w:vertAlign w:val="superscript"/>
        </w:rPr>
        <w:t>rd</w:t>
      </w:r>
      <w:r w:rsidR="000C1D3C">
        <w:rPr>
          <w:rFonts w:asciiTheme="minorHAnsi" w:hAnsiTheme="minorHAnsi"/>
          <w:b/>
          <w:spacing w:val="-1"/>
        </w:rPr>
        <w:t xml:space="preserve"> Grade Reading Teacher </w:t>
      </w:r>
      <w:r w:rsidR="006C4B70">
        <w:rPr>
          <w:rFonts w:asciiTheme="minorHAnsi" w:hAnsiTheme="minorHAnsi"/>
          <w:b/>
          <w:spacing w:val="-1"/>
        </w:rPr>
        <w:t xml:space="preserve">Bonus </w:t>
      </w:r>
    </w:p>
    <w:p w:rsidR="000C1D3C" w:rsidRDefault="000C1D3C" w:rsidP="00FA5006">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Bonus</w:t>
      </w:r>
      <w:r w:rsidR="006C4B70" w:rsidRPr="006C4B70">
        <w:rPr>
          <w:rFonts w:asciiTheme="minorHAnsi" w:hAnsiTheme="minorHAnsi"/>
          <w:spacing w:val="-1"/>
        </w:rPr>
        <w:t xml:space="preserve"> for </w:t>
      </w:r>
      <w:r>
        <w:rPr>
          <w:rFonts w:asciiTheme="minorHAnsi" w:hAnsiTheme="minorHAnsi"/>
          <w:spacing w:val="-1"/>
        </w:rPr>
        <w:t>3</w:t>
      </w:r>
      <w:r w:rsidRPr="000C1D3C">
        <w:rPr>
          <w:rFonts w:asciiTheme="minorHAnsi" w:hAnsiTheme="minorHAnsi"/>
          <w:spacing w:val="-1"/>
          <w:vertAlign w:val="superscript"/>
        </w:rPr>
        <w:t>rd</w:t>
      </w:r>
      <w:r>
        <w:rPr>
          <w:rFonts w:asciiTheme="minorHAnsi" w:hAnsiTheme="minorHAnsi"/>
          <w:spacing w:val="-1"/>
        </w:rPr>
        <w:t xml:space="preserve"> grade reading teachers</w:t>
      </w:r>
      <w:r w:rsidR="006C4B70">
        <w:rPr>
          <w:rFonts w:asciiTheme="minorHAnsi" w:hAnsiTheme="minorHAnsi"/>
          <w:spacing w:val="-1"/>
        </w:rPr>
        <w:t>, based on student performance and test results</w:t>
      </w:r>
      <w:r w:rsidR="006C4B70" w:rsidRPr="006C4B70">
        <w:rPr>
          <w:rFonts w:asciiTheme="minorHAnsi" w:hAnsiTheme="minorHAnsi"/>
          <w:spacing w:val="-1"/>
        </w:rPr>
        <w:t xml:space="preserve">.  </w:t>
      </w:r>
    </w:p>
    <w:p w:rsidR="000C1D3C" w:rsidRDefault="000C1D3C" w:rsidP="000C1D3C">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048</w:t>
      </w:r>
      <w:r w:rsidRPr="006C4B70">
        <w:rPr>
          <w:rFonts w:asciiTheme="minorHAnsi" w:hAnsiTheme="minorHAnsi"/>
          <w:b/>
          <w:spacing w:val="-1"/>
        </w:rPr>
        <w:tab/>
      </w:r>
      <w:r>
        <w:rPr>
          <w:rFonts w:asciiTheme="minorHAnsi" w:hAnsiTheme="minorHAnsi"/>
          <w:b/>
          <w:spacing w:val="-1"/>
        </w:rPr>
        <w:t xml:space="preserve">Test Results Bonus </w:t>
      </w:r>
    </w:p>
    <w:p w:rsidR="000C1D3C" w:rsidRPr="006C4B70" w:rsidRDefault="00FA5006" w:rsidP="006C4B70">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 xml:space="preserve">Teacher and Principal bonuses.  </w:t>
      </w:r>
      <w:r w:rsidR="000C1D3C">
        <w:rPr>
          <w:rFonts w:asciiTheme="minorHAnsi" w:hAnsiTheme="minorHAnsi"/>
          <w:spacing w:val="-1"/>
        </w:rPr>
        <w:t>Bonuses for 4</w:t>
      </w:r>
      <w:r w:rsidR="000C1D3C" w:rsidRPr="000C1D3C">
        <w:rPr>
          <w:rFonts w:asciiTheme="minorHAnsi" w:hAnsiTheme="minorHAnsi"/>
          <w:spacing w:val="-1"/>
          <w:vertAlign w:val="superscript"/>
        </w:rPr>
        <w:t>th</w:t>
      </w:r>
      <w:r w:rsidR="000C1D3C">
        <w:rPr>
          <w:rFonts w:asciiTheme="minorHAnsi" w:hAnsiTheme="minorHAnsi"/>
          <w:spacing w:val="-1"/>
        </w:rPr>
        <w:t xml:space="preserve"> &amp; 5</w:t>
      </w:r>
      <w:r w:rsidR="000C1D3C" w:rsidRPr="000C1D3C">
        <w:rPr>
          <w:rFonts w:asciiTheme="minorHAnsi" w:hAnsiTheme="minorHAnsi"/>
          <w:spacing w:val="-1"/>
          <w:vertAlign w:val="superscript"/>
        </w:rPr>
        <w:t>th</w:t>
      </w:r>
      <w:r w:rsidR="000C1D3C">
        <w:rPr>
          <w:rFonts w:asciiTheme="minorHAnsi" w:hAnsiTheme="minorHAnsi"/>
          <w:spacing w:val="-1"/>
        </w:rPr>
        <w:t xml:space="preserve"> grade reading, 4</w:t>
      </w:r>
      <w:r w:rsidR="000C1D3C" w:rsidRPr="000C1D3C">
        <w:rPr>
          <w:rFonts w:asciiTheme="minorHAnsi" w:hAnsiTheme="minorHAnsi"/>
          <w:spacing w:val="-1"/>
          <w:vertAlign w:val="superscript"/>
        </w:rPr>
        <w:t>th</w:t>
      </w:r>
      <w:r w:rsidR="000C1D3C">
        <w:rPr>
          <w:rFonts w:asciiTheme="minorHAnsi" w:hAnsiTheme="minorHAnsi"/>
          <w:spacing w:val="-1"/>
        </w:rPr>
        <w:t xml:space="preserve"> thru 8</w:t>
      </w:r>
      <w:r w:rsidR="000C1D3C" w:rsidRPr="000C1D3C">
        <w:rPr>
          <w:rFonts w:asciiTheme="minorHAnsi" w:hAnsiTheme="minorHAnsi"/>
          <w:spacing w:val="-1"/>
          <w:vertAlign w:val="superscript"/>
        </w:rPr>
        <w:t>th</w:t>
      </w:r>
      <w:r w:rsidR="000C1D3C">
        <w:rPr>
          <w:rFonts w:asciiTheme="minorHAnsi" w:hAnsiTheme="minorHAnsi"/>
          <w:spacing w:val="-1"/>
        </w:rPr>
        <w:t xml:space="preserve"> grade math, </w:t>
      </w:r>
      <w:r w:rsidR="006C4B70" w:rsidRPr="006C4B70">
        <w:rPr>
          <w:rFonts w:asciiTheme="minorHAnsi" w:hAnsiTheme="minorHAnsi"/>
          <w:spacing w:val="-1"/>
        </w:rPr>
        <w:t>advanced placement teachers and CTE teacher</w:t>
      </w:r>
      <w:r w:rsidR="006C4B70">
        <w:rPr>
          <w:rFonts w:asciiTheme="minorHAnsi" w:hAnsiTheme="minorHAnsi"/>
          <w:spacing w:val="-1"/>
        </w:rPr>
        <w:t>s.</w:t>
      </w:r>
      <w:r w:rsidR="000C1D3C">
        <w:rPr>
          <w:rFonts w:asciiTheme="minorHAnsi" w:hAnsiTheme="minorHAnsi"/>
          <w:spacing w:val="-1"/>
        </w:rPr>
        <w:t xml:space="preserve">  </w:t>
      </w:r>
      <w:r>
        <w:rPr>
          <w:rFonts w:asciiTheme="minorHAnsi" w:hAnsiTheme="minorHAnsi"/>
          <w:spacing w:val="-1"/>
        </w:rPr>
        <w:t>Teacher b</w:t>
      </w:r>
      <w:r w:rsidR="000C1D3C">
        <w:rPr>
          <w:rFonts w:asciiTheme="minorHAnsi" w:hAnsiTheme="minorHAnsi"/>
          <w:spacing w:val="-1"/>
        </w:rPr>
        <w:t>on</w:t>
      </w:r>
      <w:r>
        <w:rPr>
          <w:rFonts w:asciiTheme="minorHAnsi" w:hAnsiTheme="minorHAnsi"/>
          <w:spacing w:val="-1"/>
        </w:rPr>
        <w:t>uses based on student growth</w:t>
      </w:r>
      <w:r w:rsidR="000C1D3C">
        <w:rPr>
          <w:rFonts w:asciiTheme="minorHAnsi" w:hAnsiTheme="minorHAnsi"/>
          <w:spacing w:val="-1"/>
        </w:rPr>
        <w:t>, AP exams and attainment of credentials.</w:t>
      </w:r>
      <w:r>
        <w:rPr>
          <w:rFonts w:asciiTheme="minorHAnsi" w:hAnsiTheme="minorHAnsi"/>
          <w:spacing w:val="-1"/>
        </w:rPr>
        <w:t xml:space="preserve">  Bonus for Principals based on school growth.</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052</w:t>
      </w:r>
      <w:r w:rsidRPr="00A37880">
        <w:rPr>
          <w:rFonts w:asciiTheme="minorHAnsi" w:hAnsiTheme="minorHAnsi"/>
          <w:b/>
          <w:spacing w:val="-1"/>
        </w:rPr>
        <w:tab/>
      </w:r>
      <w:r>
        <w:rPr>
          <w:rFonts w:asciiTheme="minorHAnsi" w:hAnsiTheme="minorHAnsi"/>
          <w:b/>
          <w:spacing w:val="-1"/>
        </w:rPr>
        <w:t>Extended Learning and Integrated Student Supports Grant</w:t>
      </w:r>
    </w:p>
    <w:p w:rsidR="00FA5006" w:rsidRPr="006F6A79" w:rsidRDefault="006F6A79" w:rsidP="006F6A79">
      <w:pPr>
        <w:pStyle w:val="BodyText"/>
        <w:tabs>
          <w:tab w:val="left" w:pos="720"/>
          <w:tab w:val="left" w:pos="900"/>
          <w:tab w:val="left" w:pos="1760"/>
        </w:tabs>
        <w:spacing w:before="120" w:after="120"/>
        <w:ind w:left="810" w:firstLine="0"/>
        <w:rPr>
          <w:rFonts w:asciiTheme="minorHAnsi" w:hAnsiTheme="minorHAnsi"/>
          <w:spacing w:val="-1"/>
        </w:rPr>
      </w:pPr>
      <w:r w:rsidRPr="006F6A79">
        <w:rPr>
          <w:rFonts w:asciiTheme="minorHAnsi" w:hAnsiTheme="minorHAnsi"/>
          <w:spacing w:val="-1"/>
        </w:rPr>
        <w:t xml:space="preserve">Grants to non profit educational centers.  2 LEAs act as a fiscal agent for the </w:t>
      </w:r>
      <w:r>
        <w:rPr>
          <w:rFonts w:asciiTheme="minorHAnsi" w:hAnsiTheme="minorHAnsi"/>
          <w:spacing w:val="-1"/>
        </w:rPr>
        <w:t>non profit</w:t>
      </w:r>
      <w:r w:rsidRPr="006F6A79">
        <w:rPr>
          <w:rFonts w:asciiTheme="minorHAnsi" w:hAnsiTheme="minorHAnsi"/>
          <w:spacing w:val="-1"/>
        </w:rPr>
        <w:t xml:space="preserve">.  The expenditures shown are for the non profit program and not the LEA. </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rsidR="00F14AD1" w:rsidRPr="005D1BB1" w:rsidRDefault="00A37880"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the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6C4B70" w:rsidRPr="005D1BB1" w:rsidRDefault="00AA5009" w:rsidP="00FA5006">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rsidR="00C36C0B" w:rsidRPr="00A37880" w:rsidRDefault="008C0F1A" w:rsidP="00356589">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r w:rsidR="00030361">
        <w:rPr>
          <w:rFonts w:asciiTheme="minorHAnsi" w:hAnsiTheme="minorHAnsi"/>
          <w:b/>
          <w:spacing w:val="-1"/>
        </w:rPr>
        <w:t xml:space="preserve"> / </w:t>
      </w:r>
      <w:r w:rsidR="00030361" w:rsidRPr="00356589">
        <w:rPr>
          <w:rFonts w:asciiTheme="minorHAnsi" w:hAnsiTheme="minorHAnsi"/>
          <w:b/>
          <w:spacing w:val="-1"/>
        </w:rPr>
        <w:t>Developmental Day and Community Residential</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sidR="00A54AC3">
        <w:rPr>
          <w:rFonts w:asciiTheme="minorHAnsi" w:hAnsiTheme="minorHAnsi"/>
          <w:b/>
          <w:spacing w:val="-1"/>
        </w:rPr>
        <w:t>4</w:t>
      </w:r>
      <w:r w:rsidRPr="00A37880">
        <w:rPr>
          <w:rFonts w:asciiTheme="minorHAnsi" w:hAnsiTheme="minorHAnsi"/>
          <w:b/>
          <w:spacing w:val="-1"/>
        </w:rPr>
        <w:tab/>
      </w:r>
      <w:r w:rsidR="00A54AC3">
        <w:rPr>
          <w:rFonts w:asciiTheme="minorHAnsi" w:hAnsiTheme="minorHAnsi"/>
          <w:b/>
          <w:spacing w:val="-1"/>
        </w:rPr>
        <w:t>CTE Grade Expansion Program Grant</w:t>
      </w:r>
    </w:p>
    <w:p w:rsidR="00FA5006"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Grant to expand CTE programs by prioritizing students in 6</w:t>
      </w:r>
      <w:r w:rsidRPr="00A54AC3">
        <w:rPr>
          <w:rFonts w:asciiTheme="minorHAnsi" w:hAnsiTheme="minorHAnsi"/>
          <w:vertAlign w:val="superscript"/>
        </w:rPr>
        <w:t>th</w:t>
      </w:r>
      <w:r>
        <w:rPr>
          <w:rFonts w:asciiTheme="minorHAnsi" w:hAnsiTheme="minorHAnsi"/>
        </w:rPr>
        <w:t xml:space="preserve"> &amp; 7</w:t>
      </w:r>
      <w:r w:rsidRPr="00A54AC3">
        <w:rPr>
          <w:rFonts w:asciiTheme="minorHAnsi" w:hAnsiTheme="minorHAnsi"/>
          <w:vertAlign w:val="superscript"/>
        </w:rPr>
        <w:t>th</w:t>
      </w:r>
      <w:r>
        <w:rPr>
          <w:rFonts w:asciiTheme="minorHAnsi" w:hAnsiTheme="minorHAnsi"/>
        </w:rPr>
        <w:t xml:space="preserve"> grade by providing </w:t>
      </w:r>
      <w:r>
        <w:rPr>
          <w:rFonts w:asciiTheme="minorHAnsi" w:hAnsiTheme="minorHAnsi"/>
        </w:rPr>
        <w:lastRenderedPageBreak/>
        <w:t>grants to selected LEAS for up to 7 years.</w:t>
      </w:r>
    </w:p>
    <w:p w:rsidR="00A54AC3" w:rsidRPr="00A37880" w:rsidRDefault="00A54AC3" w:rsidP="00A54AC3">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Pr>
          <w:rFonts w:asciiTheme="minorHAnsi" w:hAnsiTheme="minorHAnsi"/>
          <w:b/>
          <w:spacing w:val="-1"/>
        </w:rPr>
        <w:t>5</w:t>
      </w:r>
      <w:r w:rsidRPr="00A37880">
        <w:rPr>
          <w:rFonts w:asciiTheme="minorHAnsi" w:hAnsiTheme="minorHAnsi"/>
          <w:b/>
          <w:spacing w:val="-1"/>
        </w:rPr>
        <w:tab/>
      </w:r>
      <w:r>
        <w:rPr>
          <w:rFonts w:asciiTheme="minorHAnsi" w:hAnsiTheme="minorHAnsi"/>
          <w:b/>
          <w:spacing w:val="-1"/>
        </w:rPr>
        <w:t>Coding and Mobile Application Grant</w:t>
      </w:r>
    </w:p>
    <w:p w:rsidR="00A54AC3" w:rsidRPr="00A54AC3"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 xml:space="preserve">Grant to provide opportunities for students to learn computer science, coding and mobile app development to </w:t>
      </w:r>
      <w:r w:rsidRPr="00A54AC3">
        <w:rPr>
          <w:rFonts w:asciiTheme="minorHAnsi" w:hAnsiTheme="minorHAnsi"/>
        </w:rPr>
        <w:t>help them gain the skills needed to: (1) create and contribute, not just use and consume, in the digital economy; and (2) actively engage as informed citizens in our complex, technology-driven world.</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CE63A2" w:rsidRPr="005D1BB1" w:rsidRDefault="006B6B4E" w:rsidP="009359F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r w:rsidRPr="00AB49ED">
        <w:rPr>
          <w:rFonts w:eastAsia="Arial"/>
          <w:b/>
          <w:sz w:val="24"/>
          <w:szCs w:val="24"/>
        </w:rPr>
        <w:t>mClass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lastRenderedPageBreak/>
        <w:t>130</w:t>
      </w:r>
      <w:r w:rsidRPr="00AB49ED">
        <w:rPr>
          <w:rFonts w:asciiTheme="minorHAnsi" w:hAnsiTheme="minorHAnsi"/>
          <w:b/>
        </w:rPr>
        <w:tab/>
      </w:r>
      <w:r>
        <w:rPr>
          <w:rFonts w:asciiTheme="minorHAnsi" w:hAnsiTheme="minorHAnsi"/>
          <w:b/>
        </w:rPr>
        <w:t>State Textbook Warehouse</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Expenditures on textbooks purchased from the State Textbook Warehouse</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t>131</w:t>
      </w:r>
      <w:r>
        <w:rPr>
          <w:rFonts w:asciiTheme="minorHAnsi" w:hAnsiTheme="minorHAnsi"/>
          <w:b/>
        </w:rPr>
        <w:tab/>
        <w:t xml:space="preserve">Textbooks and Digital Resources- not from the State Warehouse </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 xml:space="preserve">Expenditures on textbooks and digital resources purchased from </w:t>
      </w:r>
      <w:r w:rsidR="00310595">
        <w:rPr>
          <w:rFonts w:asciiTheme="minorHAnsi" w:hAnsiTheme="minorHAnsi"/>
        </w:rPr>
        <w:t xml:space="preserve">vendors. </w:t>
      </w:r>
    </w:p>
    <w:sectPr w:rsidR="00A54AC3" w:rsidSect="005C0266">
      <w:headerReference w:type="default" r:id="rId9"/>
      <w:footerReference w:type="default" r:id="rId10"/>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57" w:rsidRDefault="001A1357">
      <w:r>
        <w:separator/>
      </w:r>
    </w:p>
  </w:endnote>
  <w:endnote w:type="continuationSeparator" w:id="0">
    <w:p w:rsidR="001A1357" w:rsidRDefault="001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2F1201">
      <w:rPr>
        <w:i/>
        <w:sz w:val="20"/>
        <w:szCs w:val="20"/>
      </w:rPr>
      <w:t>8</w:t>
    </w:r>
  </w:p>
  <w:p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13348A">
      <w:rPr>
        <w:i/>
        <w:noProof/>
        <w:sz w:val="20"/>
        <w:szCs w:val="20"/>
      </w:rPr>
      <w:t>4</w:t>
    </w:r>
    <w:r w:rsidR="000179A2" w:rsidRPr="00FE50D5">
      <w:rPr>
        <w: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57" w:rsidRDefault="001A1357">
      <w:r>
        <w:separator/>
      </w:r>
    </w:p>
  </w:footnote>
  <w:footnote w:type="continuationSeparator" w:id="0">
    <w:p w:rsidR="001A1357" w:rsidRDefault="001A1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w:t>
    </w:r>
    <w:r w:rsidR="002F1201">
      <w:rPr>
        <w:b/>
        <w:spacing w:val="-19"/>
        <w:sz w:val="32"/>
      </w:rPr>
      <w:t>7-18</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15:restartNumberingAfterBreak="0">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15:restartNumberingAfterBreak="0">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15:restartNumberingAfterBreak="0">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15:restartNumberingAfterBreak="0">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15:restartNumberingAfterBreak="0">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15:restartNumberingAfterBreak="0">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15:restartNumberingAfterBreak="0">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15:restartNumberingAfterBreak="0">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15:restartNumberingAfterBreak="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15:restartNumberingAfterBreak="0">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15:restartNumberingAfterBreak="0">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15:restartNumberingAfterBreak="0">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15:restartNumberingAfterBreak="0">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15:restartNumberingAfterBreak="0">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15:restartNumberingAfterBreak="0">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15:restartNumberingAfterBreak="0">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15:restartNumberingAfterBreak="0">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15:restartNumberingAfterBreak="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15:restartNumberingAfterBreak="0">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15:restartNumberingAfterBreak="0">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15:restartNumberingAfterBreak="0">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15:restartNumberingAfterBreak="0">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15:restartNumberingAfterBreak="0">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15:restartNumberingAfterBreak="0">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15:restartNumberingAfterBreak="0">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15:restartNumberingAfterBreak="0">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15:restartNumberingAfterBreak="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15:restartNumberingAfterBreak="0">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15:restartNumberingAfterBreak="0">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15:restartNumberingAfterBreak="0">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B"/>
    <w:rsid w:val="000179A2"/>
    <w:rsid w:val="00030361"/>
    <w:rsid w:val="00032363"/>
    <w:rsid w:val="000C1D3C"/>
    <w:rsid w:val="00101C13"/>
    <w:rsid w:val="00113321"/>
    <w:rsid w:val="001141FB"/>
    <w:rsid w:val="0013348A"/>
    <w:rsid w:val="001359B2"/>
    <w:rsid w:val="001A1357"/>
    <w:rsid w:val="001A4C2F"/>
    <w:rsid w:val="001E2345"/>
    <w:rsid w:val="00211B62"/>
    <w:rsid w:val="0021636D"/>
    <w:rsid w:val="00261F55"/>
    <w:rsid w:val="00275B1A"/>
    <w:rsid w:val="002775A3"/>
    <w:rsid w:val="00287A38"/>
    <w:rsid w:val="00296668"/>
    <w:rsid w:val="002F0F02"/>
    <w:rsid w:val="002F1201"/>
    <w:rsid w:val="00310595"/>
    <w:rsid w:val="003423D2"/>
    <w:rsid w:val="00356589"/>
    <w:rsid w:val="00357371"/>
    <w:rsid w:val="00363E78"/>
    <w:rsid w:val="0038220E"/>
    <w:rsid w:val="003C4ADF"/>
    <w:rsid w:val="004223F0"/>
    <w:rsid w:val="0047631A"/>
    <w:rsid w:val="004821A4"/>
    <w:rsid w:val="0049441A"/>
    <w:rsid w:val="004A6665"/>
    <w:rsid w:val="004C52AA"/>
    <w:rsid w:val="004D5F17"/>
    <w:rsid w:val="00504996"/>
    <w:rsid w:val="005171DC"/>
    <w:rsid w:val="00530F5E"/>
    <w:rsid w:val="00535406"/>
    <w:rsid w:val="00551417"/>
    <w:rsid w:val="0058434B"/>
    <w:rsid w:val="005A0F5F"/>
    <w:rsid w:val="005C0266"/>
    <w:rsid w:val="005D1BB1"/>
    <w:rsid w:val="005E719E"/>
    <w:rsid w:val="00623BB3"/>
    <w:rsid w:val="006246D5"/>
    <w:rsid w:val="006336FD"/>
    <w:rsid w:val="0063448E"/>
    <w:rsid w:val="0065350F"/>
    <w:rsid w:val="006557CA"/>
    <w:rsid w:val="006626C3"/>
    <w:rsid w:val="00676A37"/>
    <w:rsid w:val="006856FC"/>
    <w:rsid w:val="00687E54"/>
    <w:rsid w:val="006B6B4E"/>
    <w:rsid w:val="006C2F80"/>
    <w:rsid w:val="006C4B70"/>
    <w:rsid w:val="006F48F9"/>
    <w:rsid w:val="006F6A79"/>
    <w:rsid w:val="00721BD6"/>
    <w:rsid w:val="00757FC7"/>
    <w:rsid w:val="00785F7E"/>
    <w:rsid w:val="007B22FC"/>
    <w:rsid w:val="007B541F"/>
    <w:rsid w:val="007F767F"/>
    <w:rsid w:val="008136C4"/>
    <w:rsid w:val="00834126"/>
    <w:rsid w:val="00861D9C"/>
    <w:rsid w:val="008622ED"/>
    <w:rsid w:val="008675CC"/>
    <w:rsid w:val="0088428A"/>
    <w:rsid w:val="008A019C"/>
    <w:rsid w:val="008A432C"/>
    <w:rsid w:val="008C0F1A"/>
    <w:rsid w:val="008C676B"/>
    <w:rsid w:val="00907DD0"/>
    <w:rsid w:val="0092694A"/>
    <w:rsid w:val="00934B5A"/>
    <w:rsid w:val="009359F8"/>
    <w:rsid w:val="009E0BC5"/>
    <w:rsid w:val="009E31FE"/>
    <w:rsid w:val="009F090B"/>
    <w:rsid w:val="009F23CE"/>
    <w:rsid w:val="00A30BE2"/>
    <w:rsid w:val="00A37880"/>
    <w:rsid w:val="00A46CD0"/>
    <w:rsid w:val="00A54AC3"/>
    <w:rsid w:val="00A54E3E"/>
    <w:rsid w:val="00A91180"/>
    <w:rsid w:val="00AA5009"/>
    <w:rsid w:val="00AB49ED"/>
    <w:rsid w:val="00AC21B4"/>
    <w:rsid w:val="00AC564B"/>
    <w:rsid w:val="00AE21B3"/>
    <w:rsid w:val="00B83B5A"/>
    <w:rsid w:val="00BA2CF0"/>
    <w:rsid w:val="00BB08E5"/>
    <w:rsid w:val="00BB55E5"/>
    <w:rsid w:val="00BE2D74"/>
    <w:rsid w:val="00C365B4"/>
    <w:rsid w:val="00C36C0B"/>
    <w:rsid w:val="00C50D2D"/>
    <w:rsid w:val="00C65B89"/>
    <w:rsid w:val="00CE63A2"/>
    <w:rsid w:val="00D36FAD"/>
    <w:rsid w:val="00D72B48"/>
    <w:rsid w:val="00D74AD9"/>
    <w:rsid w:val="00DA723F"/>
    <w:rsid w:val="00DB2D84"/>
    <w:rsid w:val="00DC5293"/>
    <w:rsid w:val="00DC5DDB"/>
    <w:rsid w:val="00DE4665"/>
    <w:rsid w:val="00E03D9B"/>
    <w:rsid w:val="00E16DB8"/>
    <w:rsid w:val="00E578A7"/>
    <w:rsid w:val="00E721A0"/>
    <w:rsid w:val="00EF5D16"/>
    <w:rsid w:val="00EF7EEB"/>
    <w:rsid w:val="00F076B0"/>
    <w:rsid w:val="00F14AD1"/>
    <w:rsid w:val="00F1583D"/>
    <w:rsid w:val="00F5134B"/>
    <w:rsid w:val="00F56375"/>
    <w:rsid w:val="00F64D1E"/>
    <w:rsid w:val="00FA5006"/>
    <w:rsid w:val="00FB6102"/>
    <w:rsid w:val="00FC64D4"/>
    <w:rsid w:val="00FD7525"/>
    <w:rsid w:val="00FE4189"/>
    <w:rsid w:val="00FE50D5"/>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F045A-383A-4BC2-A4C6-2BD1042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publicschools.org/fbs/allotments/general/" TargetMode="External"/><Relationship Id="rId3" Type="http://schemas.openxmlformats.org/officeDocument/2006/relationships/settings" Target="settings.xml"/><Relationship Id="rId7" Type="http://schemas.openxmlformats.org/officeDocument/2006/relationships/hyperlink" Target="http://www.ncpublicschools.org/docs/fbs/resources/data/highlights/2016highl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Annie Ellis</cp:lastModifiedBy>
  <cp:revision>2</cp:revision>
  <cp:lastPrinted>2015-09-22T14:54:00Z</cp:lastPrinted>
  <dcterms:created xsi:type="dcterms:W3CDTF">2018-10-15T21:49:00Z</dcterms:created>
  <dcterms:modified xsi:type="dcterms:W3CDTF">2018-10-15T21:49:00Z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